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41" w:rsidRDefault="00534941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Минфина России от 15 ноября 2019 г. N 184н</w:t>
        </w:r>
        <w:r>
          <w:rPr>
            <w:rStyle w:val="a4"/>
            <w:rFonts w:cs="Arial"/>
            <w:b w:val="0"/>
            <w:bCs w:val="0"/>
          </w:rPr>
          <w:br/>
          <w:t>"Об утверждении федерального стандарта бухгалтерского учета государственных финансов "Выплаты персоналу"</w:t>
        </w:r>
      </w:hyperlink>
    </w:p>
    <w:p w:rsidR="00534941" w:rsidRDefault="00534941"/>
    <w:p w:rsidR="00534941" w:rsidRDefault="00534941">
      <w:r>
        <w:t xml:space="preserve">В соответствии со </w:t>
      </w:r>
      <w:hyperlink r:id="rId6" w:history="1">
        <w:r>
          <w:rPr>
            <w:rStyle w:val="a4"/>
            <w:rFonts w:cs="Arial"/>
          </w:rPr>
          <w:t>статьями 165</w:t>
        </w:r>
      </w:hyperlink>
      <w:r>
        <w:t xml:space="preserve"> и </w:t>
      </w:r>
      <w:hyperlink r:id="rId7" w:history="1">
        <w:r>
          <w:rPr>
            <w:rStyle w:val="a4"/>
            <w:rFonts w:cs="Arial"/>
          </w:rPr>
          <w:t>264.1</w:t>
        </w:r>
      </w:hyperlink>
      <w:r>
        <w:t xml:space="preserve"> Бюджетного кодекса Российской Федерации (Собрание законодательства Российской Федерации, 1998, N 31, ст. 3823; 2019, N 30, ст. 4101; N 31, ст. 4466), </w:t>
      </w:r>
      <w:hyperlink r:id="rId8" w:history="1">
        <w:r>
          <w:rPr>
            <w:rStyle w:val="a4"/>
            <w:rFonts w:cs="Arial"/>
          </w:rPr>
          <w:t>статьями 21</w:t>
        </w:r>
      </w:hyperlink>
      <w:r>
        <w:t xml:space="preserve"> и </w:t>
      </w:r>
      <w:hyperlink r:id="rId9" w:history="1">
        <w:r>
          <w:rPr>
            <w:rStyle w:val="a4"/>
            <w:rFonts w:cs="Arial"/>
          </w:rPr>
          <w:t>23</w:t>
        </w:r>
      </w:hyperlink>
      <w:r>
        <w:t xml:space="preserve"> Федерального закона от 6 декабря 2011 г. N 402-ФЗ "О бухгалтерском учете" (Собрание законодательства Российской Федерации, 2011, N 50, ст. 7344; 2019, N 30, ст. 4149), </w:t>
      </w:r>
      <w:hyperlink r:id="rId10" w:history="1">
        <w:r>
          <w:rPr>
            <w:rStyle w:val="a4"/>
            <w:rFonts w:cs="Arial"/>
          </w:rPr>
          <w:t>подпунктом 5.2.21(1)</w:t>
        </w:r>
      </w:hyperlink>
      <w:r>
        <w:t xml:space="preserve"> Положения о Министерстве финансов Российской Федерации, утвержденного </w:t>
      </w:r>
      <w:hyperlink r:id="rId1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30 июня 2004 г. N 329 (Собрание законодательства Российской Федерации, 2004, N 31, ст. 3258; 2012, N 44, ст. 6027), в целях регулирования бюджетного учета нефинансовых и финансовых активов и обязательств Российской Федерации, субъектов Российской Федерации и муниципальных образований, операций, изменяющих указанные активы и обязательства, бухгалтерского учета государственных (муниципальных) бюджетных и автономных учреждений и составления, представления, рассмотрения и утверждения бюджетной отчетности, бухгалтерской (финансовой) отчетности государственных (муниципальных) бюджетных и автономных учреждений приказываю:</w:t>
      </w:r>
    </w:p>
    <w:p w:rsidR="00534941" w:rsidRDefault="00534941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федеральный стандарт</w:t>
        </w:r>
      </w:hyperlink>
      <w:r>
        <w:t xml:space="preserve"> бухгалтерского учета государственных финансов "Выплаты персоналу" (далее - Стандарт).</w:t>
      </w:r>
    </w:p>
    <w:p w:rsidR="00534941" w:rsidRDefault="00534941">
      <w:bookmarkStart w:id="1" w:name="sub_2"/>
      <w:bookmarkEnd w:id="0"/>
      <w:r>
        <w:t xml:space="preserve">2. Установить, что </w:t>
      </w:r>
      <w:hyperlink w:anchor="sub_1000" w:history="1">
        <w:r>
          <w:rPr>
            <w:rStyle w:val="a4"/>
            <w:rFonts w:cs="Arial"/>
          </w:rPr>
          <w:t>Стандарт</w:t>
        </w:r>
      </w:hyperlink>
      <w:r>
        <w:t xml:space="preserve"> применяется при ведении бюджетного учета, бухгалтерского учета государственных (муниципальных) бюджетных и автономных учреждений с 1 января 2021 года, составлении бюджетной отчетности, бухгалтерской (финансовой) отчетности государственных (муниципальных) бюджетных и автономных учреждений начиная с отчетности 2021 года.</w:t>
      </w:r>
    </w:p>
    <w:p w:rsidR="00534941" w:rsidRDefault="00534941">
      <w:bookmarkStart w:id="2" w:name="sub_3"/>
      <w:bookmarkEnd w:id="1"/>
      <w:r>
        <w:t xml:space="preserve">3. Департаменту бюджетной методологии и финансовой отчетности в государственном секторе Министерства финансов Российской Федерации (Романову С.В.) обеспечить методологическое сопровождение применения </w:t>
      </w:r>
      <w:hyperlink w:anchor="sub_1000" w:history="1">
        <w:r>
          <w:rPr>
            <w:rStyle w:val="a4"/>
            <w:rFonts w:cs="Arial"/>
          </w:rPr>
          <w:t>Стандарта</w:t>
        </w:r>
      </w:hyperlink>
      <w:r>
        <w:t>.</w:t>
      </w:r>
    </w:p>
    <w:bookmarkEnd w:id="2"/>
    <w:p w:rsidR="00534941" w:rsidRDefault="0053494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53494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34941" w:rsidRDefault="00534941">
            <w:pPr>
              <w:pStyle w:val="a9"/>
            </w:pPr>
            <w:r>
              <w:t>Первый заместитель Председателя</w:t>
            </w:r>
            <w:r>
              <w:br/>
              <w:t>Правительства Российской Федерации -</w:t>
            </w:r>
            <w:r>
              <w:br/>
              <w:t>Министр финансов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34941" w:rsidRDefault="00534941">
            <w:pPr>
              <w:pStyle w:val="a7"/>
              <w:jc w:val="right"/>
            </w:pPr>
            <w:r>
              <w:t>А.Г. Силуанов</w:t>
            </w:r>
          </w:p>
        </w:tc>
      </w:tr>
    </w:tbl>
    <w:p w:rsidR="00534941" w:rsidRDefault="00534941"/>
    <w:p w:rsidR="00534941" w:rsidRDefault="00534941">
      <w:pPr>
        <w:pStyle w:val="a9"/>
      </w:pPr>
      <w:r>
        <w:t>Зарегистрировано в Минюсте РФ 31 января 2020 г.</w:t>
      </w:r>
    </w:p>
    <w:p w:rsidR="00534941" w:rsidRDefault="00534941">
      <w:pPr>
        <w:pStyle w:val="a9"/>
      </w:pPr>
      <w:r>
        <w:t>Регистрационный N 57383</w:t>
      </w:r>
    </w:p>
    <w:p w:rsidR="00534941" w:rsidRDefault="00534941"/>
    <w:p w:rsidR="00534941" w:rsidRDefault="00534941">
      <w:pPr>
        <w:pStyle w:val="a6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ГАРАНТ:</w:t>
      </w:r>
    </w:p>
    <w:bookmarkEnd w:id="3"/>
    <w:p w:rsidR="00534941" w:rsidRDefault="00534941">
      <w:pPr>
        <w:pStyle w:val="a6"/>
      </w:pPr>
      <w:r>
        <w:t xml:space="preserve">Стандарт </w:t>
      </w:r>
      <w:hyperlink w:anchor="sub_2" w:history="1">
        <w:r>
          <w:rPr>
            <w:rStyle w:val="a4"/>
            <w:rFonts w:cs="Arial"/>
          </w:rPr>
          <w:t>применяется</w:t>
        </w:r>
      </w:hyperlink>
      <w:r>
        <w:t xml:space="preserve"> при ведении бюджетного учета, бухгалтерского учета государственных (муниципальных) бюджетных и автономных учреждений с 1 января 2021 г., составлении бюджетной отчетности, бухгалтерской (финансовой) отчетности государственных (муниципальных) бюджетных и автономных учреждений начиная с отчетности 2021 г.</w:t>
      </w:r>
    </w:p>
    <w:p w:rsidR="00534941" w:rsidRDefault="00534941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Министерства финансов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15.11.2019 г. N 184н</w:t>
      </w:r>
    </w:p>
    <w:p w:rsidR="00534941" w:rsidRDefault="00534941"/>
    <w:p w:rsidR="00534941" w:rsidRDefault="00534941">
      <w:pPr>
        <w:pStyle w:val="1"/>
      </w:pPr>
      <w:r>
        <w:lastRenderedPageBreak/>
        <w:t>Федеральный стандарт бухгалтерского учета государственных финансов "Выплаты персоналу"</w:t>
      </w:r>
    </w:p>
    <w:p w:rsidR="00534941" w:rsidRDefault="00534941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34941" w:rsidRDefault="00534941">
      <w:pPr>
        <w:pStyle w:val="a6"/>
      </w:pPr>
      <w:r>
        <w:t xml:space="preserve">См. </w:t>
      </w:r>
      <w:hyperlink r:id="rId12" w:history="1">
        <w:r>
          <w:rPr>
            <w:rStyle w:val="a4"/>
            <w:rFonts w:cs="Arial"/>
          </w:rPr>
          <w:t>Методические рекомендации</w:t>
        </w:r>
      </w:hyperlink>
      <w:r>
        <w:t xml:space="preserve"> по применению федерального стандарта бухгалтерского учета государственных финансов "Выплаты персоналу", направленные </w:t>
      </w:r>
      <w:hyperlink r:id="rId13" w:history="1">
        <w:r>
          <w:rPr>
            <w:rStyle w:val="a4"/>
            <w:rFonts w:cs="Arial"/>
          </w:rPr>
          <w:t>письмом</w:t>
        </w:r>
      </w:hyperlink>
      <w:r>
        <w:t xml:space="preserve"> Минфина России от 30 ноября 2020 г. N 02-06-07/104576</w:t>
      </w:r>
    </w:p>
    <w:p w:rsidR="00534941" w:rsidRDefault="00534941">
      <w:pPr>
        <w:pStyle w:val="1"/>
      </w:pPr>
      <w:bookmarkStart w:id="4" w:name="sub_1100"/>
      <w:r>
        <w:t>I. Общие положения</w:t>
      </w:r>
    </w:p>
    <w:bookmarkEnd w:id="4"/>
    <w:p w:rsidR="00534941" w:rsidRDefault="00534941"/>
    <w:p w:rsidR="00534941" w:rsidRDefault="00534941">
      <w:bookmarkStart w:id="5" w:name="sub_1001"/>
      <w:r>
        <w:t>1. Федеральный стандарт бухгалтерского учета государственных финансов "Выплаты персоналу" (далее - Стандарт) разработан в целях обеспечения единства системы требований к бухгалтерскому учету, осуществляемому государственными (муниципальными) бюджетными и автономными учреждениями, бюджетному учету нефинансовых и финансовых активов и обязательств Российской Федерации, субъектов Российской Федерации и муниципальных образований, операций, изменяющих указанные нефинансовые и финансовые активы и обязательства (далее - бухгалтерский учет), к формированию информации об объектах бухгалтерского учета, бухгалтерской (финансовой) отчетности государственных (муниципальных) бюджетных и автономных учреждений, бюджетной отчетности (далее - бухгалтерская (финансовая) отчетность).</w:t>
      </w:r>
    </w:p>
    <w:p w:rsidR="00534941" w:rsidRDefault="00534941">
      <w:bookmarkStart w:id="6" w:name="sub_1002"/>
      <w:bookmarkEnd w:id="5"/>
      <w:r>
        <w:t>2. Стандарт устанавливает единые требования к порядку признания, первоначальной и последующей оценки в бухгалтерском учете обязанностей и (или) обязательств перед работниками государственных (муниципальных) учреждений, органов управления государственными внебюджетными фондами,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и муниципальными служащими, работниками государственных (муниципальных) органов, не являющимися государственными гражданскими (муниципальными) служащими, военнослужащими и приравненными к ним лицами, сотрудниками органов внутренних дел, сотрудниками, имеющими специальные звания и проходящими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а также перед физическими лицами, привлекаемыми в соответствии с законодательством Российской Федерации, законодательством субъектов Российской Федерации и (или) муниципальными правовыми актами для выполнения отдельных полномочий без заключения с ними трудовых договоров (служебных контрактов, контрактов) или договоров гражданско-правового характера (далее - персонал), по осуществлению выплат, обусловленных их статусом в соответствии с законодательством Российской Федерации, законодательством субъектов Российской Федерации и муниципальными правовыми актами, трудовыми договорами (служебными контрактами, контрактами), а также раскрытию указанной информации в бухгалтерской (финансовой) отчетности.</w:t>
      </w:r>
    </w:p>
    <w:p w:rsidR="00534941" w:rsidRDefault="00534941">
      <w:bookmarkStart w:id="7" w:name="sub_1003"/>
      <w:bookmarkEnd w:id="6"/>
      <w:r>
        <w:t xml:space="preserve">3. Положения Стандарта применяются при ведении бухгалтерского учета, раскрытии информации в бухгалтерской (финансовой) отчетности, если иное не установлено другими федеральными стандартами бухгалтерского учета государственных финансов, единой методологией бюджетного учета и бюджетной отчетности, установленной в соответствии с </w:t>
      </w:r>
      <w:hyperlink r:id="rId14" w:history="1">
        <w:r>
          <w:rPr>
            <w:rStyle w:val="a4"/>
            <w:rFonts w:cs="Arial"/>
          </w:rPr>
          <w:t>бюджетным законодательством</w:t>
        </w:r>
      </w:hyperlink>
      <w:r>
        <w:t xml:space="preserve"> Российской Федерации и </w:t>
      </w:r>
      <w:hyperlink r:id="rId15" w:history="1">
        <w:r>
          <w:rPr>
            <w:rStyle w:val="a4"/>
            <w:rFonts w:cs="Arial"/>
          </w:rPr>
          <w:t>Инструкцией</w:t>
        </w:r>
      </w:hyperlink>
      <w: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>
        <w:rPr>
          <w:vertAlign w:val="superscript"/>
        </w:rPr>
        <w:t> </w:t>
      </w:r>
      <w:hyperlink w:anchor="sub_111" w:history="1">
        <w:r>
          <w:rPr>
            <w:rStyle w:val="a4"/>
            <w:rFonts w:cs="Arial"/>
            <w:vertAlign w:val="superscript"/>
          </w:rPr>
          <w:t>1</w:t>
        </w:r>
      </w:hyperlink>
      <w:r>
        <w:t xml:space="preserve"> (далее - нормативные правовые акты, регулирующие ведение </w:t>
      </w:r>
      <w:r>
        <w:lastRenderedPageBreak/>
        <w:t>бухгалтерского учета и составление бухгалтерской (финансовой) отчетности).</w:t>
      </w:r>
    </w:p>
    <w:p w:rsidR="00534941" w:rsidRDefault="00534941">
      <w:bookmarkStart w:id="8" w:name="sub_1004"/>
      <w:bookmarkEnd w:id="7"/>
      <w:r>
        <w:t xml:space="preserve">4. Положения Стандарта применяются одновременно с применением положений </w:t>
      </w:r>
      <w:hyperlink r:id="rId16" w:history="1">
        <w:r>
          <w:rPr>
            <w:rStyle w:val="a4"/>
            <w:rFonts w:cs="Arial"/>
          </w:rPr>
          <w:t>федерального стандарта</w:t>
        </w:r>
      </w:hyperlink>
      <w: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</w:r>
      <w:r>
        <w:rPr>
          <w:vertAlign w:val="superscript"/>
        </w:rPr>
        <w:t> </w:t>
      </w:r>
      <w:hyperlink w:anchor="sub_222" w:history="1">
        <w:r>
          <w:rPr>
            <w:rStyle w:val="a4"/>
            <w:rFonts w:cs="Arial"/>
            <w:vertAlign w:val="superscript"/>
          </w:rPr>
          <w:t>2</w:t>
        </w:r>
      </w:hyperlink>
      <w:r>
        <w:t>.</w:t>
      </w:r>
    </w:p>
    <w:bookmarkEnd w:id="8"/>
    <w:p w:rsidR="00534941" w:rsidRDefault="00534941"/>
    <w:p w:rsidR="00534941" w:rsidRDefault="00534941">
      <w:pPr>
        <w:pStyle w:val="1"/>
      </w:pPr>
      <w:bookmarkStart w:id="9" w:name="sub_1200"/>
      <w:r>
        <w:t>II. Термины и их определения</w:t>
      </w:r>
    </w:p>
    <w:bookmarkEnd w:id="9"/>
    <w:p w:rsidR="00534941" w:rsidRDefault="00534941"/>
    <w:p w:rsidR="00534941" w:rsidRDefault="00534941">
      <w:bookmarkStart w:id="10" w:name="sub_1005"/>
      <w:r>
        <w:t>5. Термины, определения которым даны в других нормативных правовых актах, регулирующих ведение бухгалтерского учета и составление бухгалтерской (финансовой) отчетности, используются в Стандарте в том же значении, в каком они используются в этих нормативных правовых актах.</w:t>
      </w:r>
    </w:p>
    <w:p w:rsidR="00534941" w:rsidRDefault="00534941">
      <w:bookmarkStart w:id="11" w:name="sub_1006"/>
      <w:bookmarkEnd w:id="10"/>
      <w:r>
        <w:t>6. В Стандарте используются следующие термины в указанных значениях.</w:t>
      </w:r>
    </w:p>
    <w:bookmarkEnd w:id="11"/>
    <w:p w:rsidR="00534941" w:rsidRDefault="00534941">
      <w:r>
        <w:rPr>
          <w:rStyle w:val="a3"/>
          <w:bCs/>
        </w:rPr>
        <w:t>Выплаты персоналу</w:t>
      </w:r>
      <w:r>
        <w:t xml:space="preserve"> - расходы субъекта учета на оплату труда персонала, денежное содержание (денежное вознаграждение, денежное довольствие, заработная плата), командировочные и иные выплаты, обусловленные статусом персонала в соответствии с законодательством Российской Федерации, законодательством субъектов Российской Федерации и (или) муниципальными правовыми актами, трудовыми договорами (служебными контрактами, контрактами), а также расходы на оплату страховых взносов по обязательному социальному страхованию. Выплаты персоналу включают выплаты, предоставляемые как персоналу, так и членам их семей и (или) лицам, находящимся на их иждивении, которые могут осуществляться в виде денежных выплат и (или) предоставления товаров или услуг либо непосредственно работникам, либо их супругам, детям или другим лицам, находящимся на их иждивении.</w:t>
      </w:r>
    </w:p>
    <w:p w:rsidR="00534941" w:rsidRDefault="00534941">
      <w:r>
        <w:t>Основными группами выплат персоналу являются:</w:t>
      </w:r>
    </w:p>
    <w:p w:rsidR="00534941" w:rsidRDefault="00534941">
      <w:bookmarkStart w:id="12" w:name="sub_1061"/>
      <w:r>
        <w:t>а) текущие выплаты персоналу;</w:t>
      </w:r>
    </w:p>
    <w:p w:rsidR="00534941" w:rsidRDefault="00534941">
      <w:bookmarkStart w:id="13" w:name="sub_1062"/>
      <w:bookmarkEnd w:id="12"/>
      <w:r>
        <w:t>б) отложенные выплаты персоналу.</w:t>
      </w:r>
    </w:p>
    <w:bookmarkEnd w:id="13"/>
    <w:p w:rsidR="00534941" w:rsidRDefault="00534941">
      <w:r>
        <w:rPr>
          <w:rStyle w:val="a3"/>
          <w:bCs/>
        </w:rPr>
        <w:t>Текущие выплаты персоналу</w:t>
      </w:r>
      <w:r>
        <w:t xml:space="preserve"> - выплаты персоналу, обусловленные обязательствами субъекта учета по их осуществлению в срок и в размере, которые установлены законом, иным нормативным правовым актом, включая локальные нормативные акты, и (или) трудовым договором (служебным контрактом, контрактом).</w:t>
      </w:r>
    </w:p>
    <w:p w:rsidR="00534941" w:rsidRDefault="00534941">
      <w:r>
        <w:rPr>
          <w:rStyle w:val="a3"/>
          <w:bCs/>
        </w:rPr>
        <w:t>Отложенные выплаты персоналу</w:t>
      </w:r>
      <w:r>
        <w:t xml:space="preserve"> - выплаты персоналу, обусловленные обязанностью субъекта учета по их осуществлению, величина которых на момент их принятия представляет собой расчетно (документарно) обоснованную оценку обязательства с неопределенным временем (финансовым периодом) их исполнения.</w:t>
      </w:r>
    </w:p>
    <w:p w:rsidR="00534941" w:rsidRDefault="00534941"/>
    <w:p w:rsidR="00534941" w:rsidRDefault="00534941">
      <w:pPr>
        <w:pStyle w:val="1"/>
      </w:pPr>
      <w:bookmarkStart w:id="14" w:name="sub_1300"/>
      <w:r>
        <w:t>III. Признание (принятие к бухгалтерскому учету) и оценка при признании объектов учета выплат персоналу</w:t>
      </w:r>
    </w:p>
    <w:bookmarkEnd w:id="14"/>
    <w:p w:rsidR="00534941" w:rsidRDefault="00534941"/>
    <w:p w:rsidR="00534941" w:rsidRDefault="00534941">
      <w:bookmarkStart w:id="15" w:name="sub_1007"/>
      <w:r>
        <w:t xml:space="preserve">7. Объектом учета текущих выплат персоналу являются отдельные денежные обязательства, группируемые по видам обязательств в соответствии с видами расходов, установленными </w:t>
      </w:r>
      <w:hyperlink r:id="rId17" w:history="1">
        <w:r>
          <w:rPr>
            <w:rStyle w:val="a4"/>
            <w:rFonts w:cs="Arial"/>
          </w:rPr>
          <w:t>классификацией расходов</w:t>
        </w:r>
      </w:hyperlink>
      <w:r>
        <w:t xml:space="preserve"> бюджета бюджетной классификации Российской Федерации</w:t>
      </w:r>
      <w:r>
        <w:rPr>
          <w:vertAlign w:val="superscript"/>
        </w:rPr>
        <w:t> </w:t>
      </w:r>
      <w:hyperlink w:anchor="sub_333" w:history="1">
        <w:r>
          <w:rPr>
            <w:rStyle w:val="a4"/>
            <w:rFonts w:cs="Arial"/>
            <w:vertAlign w:val="superscript"/>
          </w:rPr>
          <w:t>3</w:t>
        </w:r>
      </w:hyperlink>
      <w:r>
        <w:t>, в том числе выходные пособия, кроме выходных пособий, связанных с реструктуризацией деятельности.</w:t>
      </w:r>
    </w:p>
    <w:p w:rsidR="00534941" w:rsidRDefault="00534941">
      <w:bookmarkStart w:id="16" w:name="sub_1008"/>
      <w:bookmarkEnd w:id="15"/>
      <w:r>
        <w:t xml:space="preserve">8. Объекты учета текущих выплат персоналу признаются в составе расчетов по принятым обязательствам по оплате труда и начислениям на выплаты по оплате труда по факту их начисления за период, когда персонал исполнял трудовые функции (возлагаемые на него отдельные полномочия), должностные обязанности, обязанности </w:t>
      </w:r>
      <w:r>
        <w:lastRenderedPageBreak/>
        <w:t>в сфере национальной обороны, правоохранительной деятельности и обеспечения безопасности государства.</w:t>
      </w:r>
    </w:p>
    <w:bookmarkEnd w:id="16"/>
    <w:p w:rsidR="00534941" w:rsidRDefault="00534941">
      <w:r>
        <w:t>Объекты учета текущих выплат персоналу признаются в сумме денежных обязательств перед физическим лицом, подлежащих исполнению в размере, установленном законом, иным нормативным правовым актом, включая локальные нормативные акты, и (или) трудовым договором (служебным контрактом, контрактом).</w:t>
      </w:r>
    </w:p>
    <w:p w:rsidR="00534941" w:rsidRDefault="00534941">
      <w:bookmarkStart w:id="17" w:name="sub_1009"/>
      <w:r>
        <w:t xml:space="preserve">9. Объектом учета отложенных выплат персоналу являются отдельные виды обязанностей по осуществлению выплат персоналу, в том числе выплат персоналу в соответствии с законодательством Российской Федерации, законодательством субъектов Российской Федерации и (или) актами органа местного самоуправления о государственном пенсионном обеспечении за исключением пенсионных выплат из бюджета Пенсионного фонда Российской Федерации, а также выплат, предусмотренных локальными нормативными актами, в связи с достижением работником установленного законодательством Российской Федерации пенсионного возраста и (или) стажа работы (далее - пенсионные и иные аналогичные выплаты), группируемые по видам расходов, установленным </w:t>
      </w:r>
      <w:hyperlink r:id="rId18" w:history="1">
        <w:r>
          <w:rPr>
            <w:rStyle w:val="a4"/>
            <w:rFonts w:cs="Arial"/>
          </w:rPr>
          <w:t>классификацией расходов</w:t>
        </w:r>
      </w:hyperlink>
      <w:r>
        <w:t xml:space="preserve"> бюджета бюджетной классификации Российской Федерации.</w:t>
      </w:r>
    </w:p>
    <w:bookmarkEnd w:id="17"/>
    <w:p w:rsidR="00534941" w:rsidRDefault="00534941">
      <w:r>
        <w:t>Выплаты персоналу в виде выходных пособий не относятся к отложенным выплатам персоналу.</w:t>
      </w:r>
    </w:p>
    <w:p w:rsidR="00534941" w:rsidRDefault="00534941">
      <w:bookmarkStart w:id="18" w:name="sub_1010"/>
      <w:r>
        <w:t>10. Объекты учета отложенных выплат персоналу признаются в составе резерва предстоящих расходов по выплатам персоналу в том отчетном периоде, когда персонал исполнял трудовые функции, должностные обязанности, обязанности в сфере национальной обороны, правоохранительной деятельности и обеспечения безопасности государства.</w:t>
      </w:r>
    </w:p>
    <w:bookmarkEnd w:id="18"/>
    <w:p w:rsidR="00534941" w:rsidRDefault="00534941">
      <w:r>
        <w:t>Объекты учета отложенных выплат персоналу признаются:</w:t>
      </w:r>
    </w:p>
    <w:p w:rsidR="00534941" w:rsidRDefault="00534941">
      <w:r>
        <w:t>в части предстоящих расходов на оплату отпусков - в сумме предстоящей оплаты отпусков за фактически отработанное время и (или) компенсаций за неиспользованные отпуска, в том числе при увольнении, включая платежи на обязательное социальное страхование. Порядок расчета резерва предстоящих расходов по выплатам персоналу устанавливается субъектом учета в рамках формирования учетной политики;</w:t>
      </w:r>
    </w:p>
    <w:p w:rsidR="00534941" w:rsidRDefault="00534941">
      <w:r>
        <w:t>в части предстоящих расходов на пенсионные и иные аналогичные выплаты - в сумме бюджетных ассигнований (лимитов бюджетных обязательств) или в сумме показателей, утвержденных планом финансово-хозяйственной деятельности государственного (муниципального) учреждения и предусмотренных на соответствующие цели на очередной финансовый год и плановый период. Информация о бюджетных ассигнованиях (лимитах бюджетных обязательств), показателях плана финансово-хозяйственной деятельности государственного (муниципального) учреждения, предусмотренных на пенсионные и иные аналогичные выплаты на плановый период, отражается в составе бюджетной информации субъекта учета.</w:t>
      </w:r>
    </w:p>
    <w:p w:rsidR="00534941" w:rsidRDefault="00534941"/>
    <w:p w:rsidR="00534941" w:rsidRDefault="00534941">
      <w:pPr>
        <w:pStyle w:val="1"/>
      </w:pPr>
      <w:bookmarkStart w:id="19" w:name="sub_1400"/>
      <w:r>
        <w:t>IV. Последующая оценка объектов учета выплат персоналу</w:t>
      </w:r>
    </w:p>
    <w:bookmarkEnd w:id="19"/>
    <w:p w:rsidR="00534941" w:rsidRDefault="00534941"/>
    <w:p w:rsidR="00534941" w:rsidRDefault="00534941">
      <w:bookmarkStart w:id="20" w:name="sub_1011"/>
      <w:r>
        <w:t>11. Стоимостная оценка объектов учета текущих выплат персоналу после первоначального признания не подлежит изменению.</w:t>
      </w:r>
    </w:p>
    <w:p w:rsidR="00534941" w:rsidRDefault="00534941">
      <w:bookmarkStart w:id="21" w:name="sub_1012"/>
      <w:bookmarkEnd w:id="20"/>
      <w:r>
        <w:t xml:space="preserve">12. Не реже чем на годовую отчетную дату стоимостная оценка объектов учета отложенных выплат персоналу подлежит пересмотру и при необходимости корректировке до величины, определенной в соответствии с </w:t>
      </w:r>
      <w:hyperlink w:anchor="sub_1010" w:history="1">
        <w:r>
          <w:rPr>
            <w:rStyle w:val="a4"/>
            <w:rFonts w:cs="Arial"/>
          </w:rPr>
          <w:t>пунктом 10</w:t>
        </w:r>
      </w:hyperlink>
      <w:r>
        <w:t xml:space="preserve"> Стандарта.</w:t>
      </w:r>
    </w:p>
    <w:bookmarkEnd w:id="21"/>
    <w:p w:rsidR="00534941" w:rsidRDefault="00534941"/>
    <w:p w:rsidR="00534941" w:rsidRDefault="00534941">
      <w:pPr>
        <w:pStyle w:val="1"/>
      </w:pPr>
      <w:bookmarkStart w:id="22" w:name="sub_1500"/>
      <w:r>
        <w:t xml:space="preserve">V. Прекращение признания (выбытие с бухгалтерского учета) объектов учета </w:t>
      </w:r>
      <w:r>
        <w:lastRenderedPageBreak/>
        <w:t>выплат персоналу</w:t>
      </w:r>
    </w:p>
    <w:bookmarkEnd w:id="22"/>
    <w:p w:rsidR="00534941" w:rsidRDefault="00534941"/>
    <w:p w:rsidR="00534941" w:rsidRDefault="00534941">
      <w:bookmarkStart w:id="23" w:name="sub_1013"/>
      <w:r>
        <w:t>13. Прекращение признания (выбытие с балансового учета и (или) прекращение отражения в бухгалтерской (финансовой) отчетности) объектов учета текущих выплат персоналу осуществляется по мере их исполнения (прекращения обязательства).</w:t>
      </w:r>
    </w:p>
    <w:p w:rsidR="00534941" w:rsidRDefault="00534941">
      <w:bookmarkStart w:id="24" w:name="sub_1014"/>
      <w:bookmarkEnd w:id="23"/>
      <w:r>
        <w:t>14. Прекращение признания (выбытие с балансового учета и (или) прекращение отражения в бухгалтерской (финансовой) отчетности) объектов учета отложенных выплат персоналу осуществляется по мере признания объектов учета текущих выплат персоналу за счет сумм ранее признанного резерва предстоящих расходов по выплатам персоналу.</w:t>
      </w:r>
    </w:p>
    <w:bookmarkEnd w:id="24"/>
    <w:p w:rsidR="00534941" w:rsidRDefault="00534941">
      <w:r>
        <w:t>В случае избыточности суммы признанного резерва предстоящих расходов по выплатам персоналу (отложенных выплат персоналу) размер резерва корректируется (уменьшается) с отнесением на расходы текущего отчетного периода.</w:t>
      </w:r>
    </w:p>
    <w:p w:rsidR="00534941" w:rsidRDefault="00534941"/>
    <w:p w:rsidR="00534941" w:rsidRDefault="00534941">
      <w:pPr>
        <w:pStyle w:val="1"/>
      </w:pPr>
      <w:bookmarkStart w:id="25" w:name="sub_1600"/>
      <w:r>
        <w:t>VI. Раскрытие информации об объектах учета выплат персоналу (результатах операций с ними) в бухгалтерской (финансовой) отчетности</w:t>
      </w:r>
    </w:p>
    <w:bookmarkEnd w:id="25"/>
    <w:p w:rsidR="00534941" w:rsidRDefault="00534941"/>
    <w:p w:rsidR="00534941" w:rsidRDefault="00534941">
      <w:bookmarkStart w:id="26" w:name="sub_1015"/>
      <w:r>
        <w:t>15. В годовой бухгалтерской (финансовой) отчетности субъекта учета раскрывается следующая информация:</w:t>
      </w:r>
    </w:p>
    <w:p w:rsidR="00534941" w:rsidRDefault="00534941">
      <w:bookmarkStart w:id="27" w:name="sub_1151"/>
      <w:bookmarkEnd w:id="26"/>
      <w:r>
        <w:t>а) сумма задолженности по текущим выплатам персоналу на начало и конец отчетного периода;</w:t>
      </w:r>
    </w:p>
    <w:p w:rsidR="00534941" w:rsidRDefault="00534941">
      <w:bookmarkStart w:id="28" w:name="sub_1152"/>
      <w:bookmarkEnd w:id="27"/>
      <w:r>
        <w:t>б) сумма резерва предстоящих расходов по выплатам персоналу (отложенных выплат персоналу) на начало и конец отчетного периода по каждому виду обязанностей по выплатам персоналу;</w:t>
      </w:r>
    </w:p>
    <w:p w:rsidR="00534941" w:rsidRDefault="00534941">
      <w:bookmarkStart w:id="29" w:name="sub_1153"/>
      <w:bookmarkEnd w:id="28"/>
      <w:r>
        <w:t>в) сумма корректировок (увеличений, уменьшений) величины резерва предстоящих расходов по выплатам персоналу (отложенных выплат персоналу) по каждому виду отложенных выплат персоналу в структуре оснований:</w:t>
      </w:r>
    </w:p>
    <w:bookmarkEnd w:id="29"/>
    <w:p w:rsidR="00534941" w:rsidRDefault="00534941">
      <w:r>
        <w:t>признание объектов учета отложенных выплат персоналу;</w:t>
      </w:r>
    </w:p>
    <w:p w:rsidR="00534941" w:rsidRDefault="00534941">
      <w:r>
        <w:t>признание объектов учета текущих выплат персоналу за счет сумм ранее признанного резерва предстоящих расходов по выплатам персоналу;</w:t>
      </w:r>
    </w:p>
    <w:p w:rsidR="00534941" w:rsidRDefault="00534941">
      <w:r>
        <w:t>корректировка резерва предстоящих расходов по выплатам персоналу в части избыточно начисленных сумм.</w:t>
      </w:r>
    </w:p>
    <w:p w:rsidR="00534941" w:rsidRDefault="00534941">
      <w:bookmarkStart w:id="30" w:name="sub_1016"/>
      <w:r>
        <w:t>16. Дополнительно в составе бюджетной информации субъекта учета раскрывается информация о пенсионных и иных аналогичных выплатах на плановый период.</w:t>
      </w:r>
    </w:p>
    <w:p w:rsidR="00534941" w:rsidRDefault="00534941">
      <w:bookmarkStart w:id="31" w:name="sub_1017"/>
      <w:bookmarkEnd w:id="30"/>
      <w:r>
        <w:t>17. Представление сопоставимой сравнительной информации за предыдущие отчетные периоды по отложенным выплатам персоналу в части пенсионных и иных аналогичных выплат в бухгалтерской (финансовой) отчетности при первом применении Стандарта не осуществляется.</w:t>
      </w:r>
    </w:p>
    <w:bookmarkEnd w:id="31"/>
    <w:p w:rsidR="00534941" w:rsidRDefault="00534941"/>
    <w:p w:rsidR="00534941" w:rsidRDefault="00534941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534941" w:rsidRDefault="00534941">
      <w:bookmarkStart w:id="32" w:name="sub_111"/>
      <w:r>
        <w:rPr>
          <w:vertAlign w:val="superscript"/>
        </w:rPr>
        <w:t>1</w:t>
      </w:r>
      <w:r>
        <w:t xml:space="preserve"> Утверждена </w:t>
      </w:r>
      <w:hyperlink r:id="rId19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финансов Российской Федерации от 25 марта 2011 г. N 33н (зарегистрирован Министерством юстиции Российской Федерации 22 апреля 2011 г., регистрационный номер 20558), с изменениями, внесенными приказами Министерства финансов Российской </w:t>
      </w:r>
      <w:hyperlink r:id="rId20" w:history="1">
        <w:r>
          <w:rPr>
            <w:rStyle w:val="a4"/>
            <w:rFonts w:cs="Arial"/>
          </w:rPr>
          <w:t>Федерации от 26 октября 2012 г. N 139н</w:t>
        </w:r>
      </w:hyperlink>
      <w:r>
        <w:t xml:space="preserve"> (зарегистрирован Министерством юстиции Российской Федерации 19 декабря 2012 г., регистрационный номер 26195), </w:t>
      </w:r>
      <w:hyperlink r:id="rId21" w:history="1">
        <w:r>
          <w:rPr>
            <w:rStyle w:val="a4"/>
            <w:rFonts w:cs="Arial"/>
          </w:rPr>
          <w:t>от 29 декабря 2014 г. N 172н</w:t>
        </w:r>
      </w:hyperlink>
      <w:r>
        <w:t xml:space="preserve"> (зарегистрирован Министерством юстиции Российской Федерации 4 февраля 2015 г., регистрационный номер 35854), </w:t>
      </w:r>
      <w:hyperlink r:id="rId22" w:history="1">
        <w:r>
          <w:rPr>
            <w:rStyle w:val="a4"/>
            <w:rFonts w:cs="Arial"/>
          </w:rPr>
          <w:t>от 20 марта 2015 г. N 43н</w:t>
        </w:r>
      </w:hyperlink>
      <w:r>
        <w:t xml:space="preserve"> (зарегистрирован Министерством юстиции </w:t>
      </w:r>
      <w:r>
        <w:lastRenderedPageBreak/>
        <w:t xml:space="preserve">Российской Федерации 1 апреля 2015 г., регистрационный номер 36668), </w:t>
      </w:r>
      <w:hyperlink r:id="rId23" w:history="1">
        <w:r>
          <w:rPr>
            <w:rStyle w:val="a4"/>
            <w:rFonts w:cs="Arial"/>
          </w:rPr>
          <w:t>от 17 декабря 2015 г. N 199н</w:t>
        </w:r>
      </w:hyperlink>
      <w:r>
        <w:t xml:space="preserve"> (зарегистрирован Министерством юстиции Российской Федерации 28 января 2016 г., регистрационный номер 40889), </w:t>
      </w:r>
      <w:hyperlink r:id="rId24" w:history="1">
        <w:r>
          <w:rPr>
            <w:rStyle w:val="a4"/>
            <w:rFonts w:cs="Arial"/>
          </w:rPr>
          <w:t>от 16 ноября 2016 г. N 209н</w:t>
        </w:r>
      </w:hyperlink>
      <w:r>
        <w:t xml:space="preserve"> (зарегистрирован Министерством юстиции Российской Федерации 15 декабря 2016 г., регистрационный номер 44741), </w:t>
      </w:r>
      <w:hyperlink r:id="rId25" w:history="1">
        <w:r>
          <w:rPr>
            <w:rStyle w:val="a4"/>
            <w:rFonts w:cs="Arial"/>
          </w:rPr>
          <w:t>от 14 ноября 2017 г. N 189н</w:t>
        </w:r>
      </w:hyperlink>
      <w:r>
        <w:t xml:space="preserve"> (зарегистрирован Министерством юстиции Российской Федерации 12 декабря 2017 г., регистрационный номер 49217), </w:t>
      </w:r>
      <w:hyperlink r:id="rId26" w:history="1">
        <w:r>
          <w:rPr>
            <w:rStyle w:val="a4"/>
            <w:rFonts w:cs="Arial"/>
          </w:rPr>
          <w:t>от 7 марта 2018 г. N 42н</w:t>
        </w:r>
      </w:hyperlink>
      <w:r>
        <w:t xml:space="preserve"> (зарегистрирован Министерством юстиции Российской Федерации 28 марта 2018 г., регистрационный номер 50553), </w:t>
      </w:r>
      <w:hyperlink r:id="rId27" w:history="1">
        <w:r>
          <w:rPr>
            <w:rStyle w:val="a4"/>
            <w:rFonts w:cs="Arial"/>
          </w:rPr>
          <w:t>от 30 ноября 2018 г. N 243н</w:t>
        </w:r>
      </w:hyperlink>
      <w:r>
        <w:t xml:space="preserve"> (зарегистрирован Министерством юстиции Российской Федерации 25 декабря 2018 г., регистрационный номер 53168), </w:t>
      </w:r>
      <w:hyperlink r:id="rId28" w:history="1">
        <w:r>
          <w:rPr>
            <w:rStyle w:val="a4"/>
            <w:rFonts w:cs="Arial"/>
          </w:rPr>
          <w:t>от 28 февраля 2019 г. N 32н</w:t>
        </w:r>
      </w:hyperlink>
      <w:r>
        <w:t xml:space="preserve"> (зарегистрирован Министерством юстиции Российской Федерации 27 марта 2019 г., регистрационный номер 54184), </w:t>
      </w:r>
      <w:hyperlink r:id="rId29" w:history="1">
        <w:r>
          <w:rPr>
            <w:rStyle w:val="a4"/>
            <w:rFonts w:cs="Arial"/>
          </w:rPr>
          <w:t>от 16 мая 2019 г. N 73н</w:t>
        </w:r>
      </w:hyperlink>
      <w:r>
        <w:t xml:space="preserve"> (зарегистрирован Министерством юстиции Российской Федерации 11 июня 2019 г., регистрационный номер 54909), </w:t>
      </w:r>
      <w:hyperlink r:id="rId30" w:history="1">
        <w:r>
          <w:rPr>
            <w:rStyle w:val="a4"/>
            <w:rFonts w:cs="Arial"/>
          </w:rPr>
          <w:t>от 16 октября 2019 г. N 166н</w:t>
        </w:r>
      </w:hyperlink>
      <w:r>
        <w:t xml:space="preserve"> (зарегистрирован в Министерстве юстиции Российской Федерации 20 декабря 2019 г., регистрационный номер 56918).</w:t>
      </w:r>
    </w:p>
    <w:p w:rsidR="00534941" w:rsidRDefault="00534941">
      <w:bookmarkStart w:id="33" w:name="sub_222"/>
      <w:bookmarkEnd w:id="32"/>
      <w:r>
        <w:rPr>
          <w:vertAlign w:val="superscript"/>
        </w:rPr>
        <w:t>2</w:t>
      </w:r>
      <w:r>
        <w:t xml:space="preserve"> Утвержден </w:t>
      </w:r>
      <w:hyperlink r:id="rId31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финансов Российской Федерации от 31 декабря 2016 г. N 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(зарегистрирован Министерством юстиции Российской Федерации 27 апреля 2017 г., регистрационный номер 46517) с изменениями, внесенными </w:t>
      </w:r>
      <w:hyperlink r:id="rId32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финансов Российской Федерации от 10 июня 2019 г. N 94н (зарегистрирован Министерством юстиции Российской Федерации 4 июля 2019 г., регистрационный номер 55140).</w:t>
      </w:r>
    </w:p>
    <w:p w:rsidR="00534941" w:rsidRDefault="00534941">
      <w:bookmarkStart w:id="34" w:name="sub_333"/>
      <w:bookmarkEnd w:id="33"/>
      <w:r>
        <w:rPr>
          <w:vertAlign w:val="superscript"/>
        </w:rPr>
        <w:t>3</w:t>
      </w:r>
      <w:r>
        <w:t xml:space="preserve"> </w:t>
      </w:r>
      <w:hyperlink r:id="rId33" w:history="1">
        <w:r>
          <w:rPr>
            <w:rStyle w:val="a4"/>
            <w:rFonts w:cs="Arial"/>
          </w:rPr>
          <w:t>Статья 21</w:t>
        </w:r>
      </w:hyperlink>
      <w:r>
        <w:t xml:space="preserve"> Бюджетного кодекса Российской Федерации (Собрание законодательства Российской Федерации, 1998, N 31, ст. 3823; 2019, N 30, ст. 4101, N 31, ст. 4437).</w:t>
      </w:r>
    </w:p>
    <w:bookmarkEnd w:id="34"/>
    <w:p w:rsidR="00534941" w:rsidRDefault="00534941"/>
    <w:sectPr w:rsidR="0053494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4941"/>
    <w:rsid w:val="00534941"/>
    <w:rsid w:val="00704C01"/>
    <w:rsid w:val="00D1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Document Map"/>
    <w:basedOn w:val="a"/>
    <w:link w:val="ac"/>
    <w:uiPriority w:val="99"/>
    <w:semiHidden/>
    <w:unhideWhenUsed/>
    <w:rsid w:val="0053494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34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21" TargetMode="External"/><Relationship Id="rId13" Type="http://schemas.openxmlformats.org/officeDocument/2006/relationships/hyperlink" Target="garantF1://74952068.0" TargetMode="External"/><Relationship Id="rId18" Type="http://schemas.openxmlformats.org/officeDocument/2006/relationships/hyperlink" Target="garantF1://72175618.12000" TargetMode="External"/><Relationship Id="rId26" Type="http://schemas.openxmlformats.org/officeDocument/2006/relationships/hyperlink" Target="garantF1://7180632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761416.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12604.2641" TargetMode="External"/><Relationship Id="rId12" Type="http://schemas.openxmlformats.org/officeDocument/2006/relationships/hyperlink" Target="garantF1://74952068.1000" TargetMode="External"/><Relationship Id="rId17" Type="http://schemas.openxmlformats.org/officeDocument/2006/relationships/hyperlink" Target="garantF1://72175618.12000" TargetMode="External"/><Relationship Id="rId25" Type="http://schemas.openxmlformats.org/officeDocument/2006/relationships/hyperlink" Target="garantF1://71720268.0" TargetMode="External"/><Relationship Id="rId33" Type="http://schemas.openxmlformats.org/officeDocument/2006/relationships/hyperlink" Target="garantF1://12012604.2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486636.1000" TargetMode="External"/><Relationship Id="rId20" Type="http://schemas.openxmlformats.org/officeDocument/2006/relationships/hyperlink" Target="garantF1://70150790.0" TargetMode="External"/><Relationship Id="rId29" Type="http://schemas.openxmlformats.org/officeDocument/2006/relationships/hyperlink" Target="garantF1://7216160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165" TargetMode="External"/><Relationship Id="rId11" Type="http://schemas.openxmlformats.org/officeDocument/2006/relationships/hyperlink" Target="garantF1://12036348.0" TargetMode="External"/><Relationship Id="rId24" Type="http://schemas.openxmlformats.org/officeDocument/2006/relationships/hyperlink" Target="garantF1://71450852.4000" TargetMode="External"/><Relationship Id="rId32" Type="http://schemas.openxmlformats.org/officeDocument/2006/relationships/hyperlink" Target="garantF1://72188592.0" TargetMode="External"/><Relationship Id="rId5" Type="http://schemas.openxmlformats.org/officeDocument/2006/relationships/hyperlink" Target="garantF1://73396005.0" TargetMode="External"/><Relationship Id="rId15" Type="http://schemas.openxmlformats.org/officeDocument/2006/relationships/hyperlink" Target="garantF1://12084447.1000" TargetMode="External"/><Relationship Id="rId23" Type="http://schemas.openxmlformats.org/officeDocument/2006/relationships/hyperlink" Target="garantF1://71207912.0" TargetMode="External"/><Relationship Id="rId28" Type="http://schemas.openxmlformats.org/officeDocument/2006/relationships/hyperlink" Target="garantF1://72107786.0" TargetMode="External"/><Relationship Id="rId10" Type="http://schemas.openxmlformats.org/officeDocument/2006/relationships/hyperlink" Target="garantF1://12036348.152211" TargetMode="External"/><Relationship Id="rId19" Type="http://schemas.openxmlformats.org/officeDocument/2006/relationships/hyperlink" Target="garantF1://12084447.0" TargetMode="External"/><Relationship Id="rId31" Type="http://schemas.openxmlformats.org/officeDocument/2006/relationships/hyperlink" Target="garantF1://7148663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03036.23" TargetMode="External"/><Relationship Id="rId14" Type="http://schemas.openxmlformats.org/officeDocument/2006/relationships/hyperlink" Target="garantF1://12012604.2" TargetMode="External"/><Relationship Id="rId22" Type="http://schemas.openxmlformats.org/officeDocument/2006/relationships/hyperlink" Target="garantF1://70808858.0" TargetMode="External"/><Relationship Id="rId27" Type="http://schemas.openxmlformats.org/officeDocument/2006/relationships/hyperlink" Target="garantF1://72026296.0" TargetMode="External"/><Relationship Id="rId30" Type="http://schemas.openxmlformats.org/officeDocument/2006/relationships/hyperlink" Target="garantF1://73165083.1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2719</Words>
  <Characters>15502</Characters>
  <Application>Microsoft Office Word</Application>
  <DocSecurity>0</DocSecurity>
  <Lines>129</Lines>
  <Paragraphs>36</Paragraphs>
  <ScaleCrop>false</ScaleCrop>
  <Company>НПП "Гарант-Сервис"</Company>
  <LinksUpToDate>false</LinksUpToDate>
  <CharactersWithSpaces>18185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2021-03-09T09:10:00Z</dcterms:created>
  <dcterms:modified xsi:type="dcterms:W3CDTF">2021-03-09T09:10:00Z</dcterms:modified>
</cp:coreProperties>
</file>